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Instrument Serif" w:cs="Instrument Serif" w:eastAsia="Instrument Serif" w:hAnsi="Instrument Serif"/>
          <w:color w:val="0B1513"/>
          <w:sz w:val="30"/>
          <w:szCs w:val="30"/>
        </w:rPr>
        <w:t xml:space="preserve">Proposta para desenvolvimento do </w:t>
      </w:r>
      <w:r>
        <w:rPr>
          <w:rFonts w:ascii="Instrument Serif" w:cs="Instrument Serif" w:eastAsia="Instrument Serif" w:hAnsi="Instrument Serif"/>
          <w:i/>
          <w:iCs/>
          <w:color w:val="17463B"/>
          <w:sz w:val="30"/>
          <w:szCs w:val="30"/>
        </w:rPr>
        <w:t xml:space="preserve">sistema de gestão integrada.</w:t>
      </w:r>
    </w:p>
    <w:p>
      <w:pPr>
        <w:spacing w:after="180" w:line="320"/>
      </w:pPr>
      <w:r>
        <w:rPr>
          <w:rFonts w:ascii="Geist" w:cs="Geist" w:eastAsia="Geist" w:hAnsi="Geist"/>
          <w:color w:val="0B1513"/>
          <w:sz w:val="22"/>
          <w:szCs w:val="22"/>
        </w:rPr>
        <w:t xml:space="preserve">Prezada equipe Nova Era,</w:t>
      </w:r>
    </w:p>
    <w:p>
      <w:pPr>
        <w:spacing w:after="180" w:line="320"/>
      </w:pPr>
      <w:r>
        <w:rPr>
          <w:rFonts w:ascii="Geist" w:cs="Geist" w:eastAsia="Geist" w:hAnsi="Geist"/>
          <w:color w:val="0B1513"/>
          <w:sz w:val="22"/>
          <w:szCs w:val="22"/>
        </w:rPr>
        <w:t xml:space="preserve">Agradecemos a confiança em nos confiar o escopo de discovery inicial. Após as sessões de mapeamento realizadas entre 08 e 12 de abril, consolidamos a proposta técnica e comercial para o desenvolvimento da plataforma interna de gestão de obra.</w:t>
      </w:r>
    </w:p>
    <w:p>
      <w:pPr>
        <w:spacing w:after="180" w:line="320"/>
      </w:pPr>
      <w:r>
        <w:rPr>
          <w:rFonts w:ascii="Geist" w:cs="Geist" w:eastAsia="Geist" w:hAnsi="Geist"/>
          <w:color w:val="0B1513"/>
          <w:sz w:val="22"/>
          <w:szCs w:val="22"/>
        </w:rPr>
        <w:t xml:space="preserve">O sistema será composto por três módulos integrados: (i) gestão de cronograma físico-financeiro, (ii) controle de fornecedores e materiais, e (iii) dashboard executivo com visão consolidada por obra. Arquitetura em microserviços, stack em Node.js + PostgreSQL, frontend em Next.js.</w:t>
      </w:r>
    </w:p>
    <w:p>
      <w:pPr>
        <w:spacing w:after="180" w:line="320"/>
      </w:pPr>
      <w:r>
        <w:rPr>
          <w:rFonts w:ascii="Geist" w:cs="Geist" w:eastAsia="Geist" w:hAnsi="Geist"/>
          <w:color w:val="0B1513"/>
          <w:sz w:val="22"/>
          <w:szCs w:val="22"/>
        </w:rPr>
        <w:t xml:space="preserve">Cronograma estimado: 14 semanas, com entregas quinzenais em ambiente de staging. Equipe dedicada de 4 pessoas — 1 PM, 2 desenvolvedores full-stack e 1 product designer.</w:t>
      </w:r>
    </w:p>
    <w:p>
      <w:pPr>
        <w:spacing w:after="180" w:line="320"/>
      </w:pPr>
      <w:r>
        <w:rPr>
          <w:rFonts w:ascii="Geist" w:cs="Geist" w:eastAsia="Geist" w:hAnsi="Geist"/>
          <w:color w:val="0B1513"/>
          <w:sz w:val="22"/>
          <w:szCs w:val="22"/>
        </w:rPr>
        <w:t xml:space="preserve">Estamos à disposição para detalhar qualquer ponto.</w:t>
      </w:r>
    </w:p>
    <w:p>
      <w:pPr>
        <w:pBdr>
          <w:top w:val="single" w:color="DDDBD2" w:sz="4" w:space="8"/>
        </w:pBdr>
        <w:spacing w:after="0" w:before="400"/>
      </w:pPr>
      <w:r>
        <w:rPr>
          <w:rFonts w:ascii="Instrument Serif" w:cs="Instrument Serif" w:eastAsia="Instrument Serif" w:hAnsi="Instrument Serif"/>
          <w:i/>
          <w:iCs/>
          <w:color w:val="17463B"/>
          <w:sz w:val="26"/>
          <w:szCs w:val="26"/>
        </w:rPr>
        <w:t xml:space="preserve">Gabriel Oliveira</w:t>
      </w:r>
    </w:p>
    <w:p>
      <w:r>
        <w:rPr>
          <w:rFonts w:ascii="Geist Mono" w:cs="Geist Mono" w:eastAsia="Geist Mono" w:hAnsi="Geist Mono"/>
          <w:b w:val="false"/>
          <w:bCs w:val="false"/>
          <w:caps/>
          <w:color w:val="777A75"/>
          <w:spacing w:val="20"/>
          <w:sz w:val="13"/>
          <w:szCs w:val="13"/>
        </w:rPr>
        <w:t xml:space="preserve">Founder · CTO · Quabit</w:t>
      </w:r>
    </w:p>
    <w:sectPr>
      <w:headerReference w:type="default" r:id="rId7"/>
      <w:footerReference w:type="default" r:id="rId8"/>
      <w:pgSz w:w="11905" w:h="16837" w:orient="portrait"/>
      <w:pgMar w:top="1417" w:right="1133" w:bottom="1417" w:left="1133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BD2" w:sz="4" w:space="4"/>
      </w:pBdr>
      <w:spacing w:after="100" w:before="0"/>
    </w:pPr>
  </w:p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7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Quabit Tecnologia Ltda · CNPJ 00.000.000/0001-00</w:t>
          </w:r>
        </w:p>
      </w:tc>
      <w:tc>
        <w:tcPr>
          <w:tcW w:type="pct" w:w="3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página </w:t>
          </w:r>
          <w:r>
            <w:rPr>
              <w:rFonts w:ascii="Geist Mono" w:cs="Geist Mono" w:eastAsia="Geist Mono" w:hAnsi="Geist Mono"/>
              <w:color w:val="777A75"/>
              <w:sz w:val="13"/>
              <w:szCs w:val="13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 / </w:t>
          </w:r>
          <w:r>
            <w:rPr>
              <w:rFonts w:ascii="Geist Mono" w:cs="Geist Mono" w:eastAsia="Geist Mono" w:hAnsi="Geist Mono"/>
              <w:color w:val="777A75"/>
              <w:sz w:val="13"/>
              <w:szCs w:val="13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238250" cy="3905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90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quabit.com.br</w:t>
          </w:r>
        </w:p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contato@quabit.com.br</w:t>
          </w:r>
        </w:p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São Paulo · SP</w:t>
          </w:r>
        </w:p>
      </w:tc>
    </w:tr>
  </w:tbl>
  <w:p>
    <w:pPr>
      <w:pBdr>
        <w:bottom w:val="single" w:color="DDDBD2" w:sz="4" w:space="1"/>
      </w:pBdr>
      <w:spacing w:after="160" w:before="160"/>
    </w:pPr>
  </w:p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  <w:gridCol w:w="100"/>
      <w:gridCol w:w="100"/>
    </w:tblGrid>
    <w:tr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Ref.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0B1513"/>
              <w:sz w:val="18"/>
              <w:szCs w:val="18"/>
            </w:rPr>
            <w:t xml:space="preserve">PROP-2026-014</w:t>
          </w:r>
        </w:p>
      </w:tc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Data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0B1513"/>
              <w:sz w:val="18"/>
              <w:szCs w:val="18"/>
            </w:rPr>
            <w:t xml:space="preserve">17 Abr 2026</w:t>
          </w:r>
        </w:p>
      </w:tc>
    </w:tr>
    <w:tr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Para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0B1513"/>
              <w:sz w:val="18"/>
              <w:szCs w:val="18"/>
            </w:rPr>
            <w:t xml:space="preserve">Construtora Nova Era</w:t>
          </w:r>
        </w:p>
      </w:tc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Projeto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0B1513"/>
              <w:sz w:val="18"/>
              <w:szCs w:val="18"/>
            </w:rPr>
            <w:t xml:space="preserve">Plataforma de Gestão</w:t>
          </w:r>
        </w:p>
      </w:tc>
    </w:tr>
  </w:tbl>
  <w:p>
    <w:pPr>
      <w:pBdr>
        <w:bottom w:val="single" w:color="DDDBD2" w:sz="4" w:space="1"/>
      </w:pBdr>
      <w:spacing w:after="160" w:before="1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ist" w:cs="Geist" w:eastAsia="Geist" w:hAnsi="Geist"/>
        <w:color w:val="0B151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74fe195cbbec053e76c183db44fd1f33541ead2.undefined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2026-08-17T22:07:50.458Z</dcterms:created>
  <dcterms:modified xsi:type="dcterms:W3CDTF">2026-08-17T22:07:50.463Z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